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1F" w:rsidRPr="00B3461F" w:rsidRDefault="00B3461F" w:rsidP="00B3461F">
      <w:pPr>
        <w:widowControl/>
        <w:shd w:val="clear" w:color="auto" w:fill="FFFFFF"/>
        <w:jc w:val="left"/>
        <w:outlineLvl w:val="0"/>
        <w:rPr>
          <w:rFonts w:ascii="宋体" w:eastAsia="宋体" w:hAnsi="宋体" w:cs="宋体"/>
          <w:b/>
          <w:bCs/>
          <w:color w:val="2B2B2B"/>
          <w:spacing w:val="-23"/>
          <w:kern w:val="36"/>
          <w:sz w:val="36"/>
          <w:szCs w:val="36"/>
        </w:rPr>
      </w:pPr>
      <w:bookmarkStart w:id="0" w:name="_GoBack"/>
      <w:r w:rsidRPr="00B3461F">
        <w:rPr>
          <w:rFonts w:ascii="宋体" w:eastAsia="宋体" w:hAnsi="宋体" w:cs="宋体" w:hint="eastAsia"/>
          <w:b/>
          <w:bCs/>
          <w:color w:val="2B2B2B"/>
          <w:spacing w:val="-23"/>
          <w:kern w:val="36"/>
          <w:sz w:val="36"/>
          <w:szCs w:val="36"/>
        </w:rPr>
        <w:t>欧洲艺术基金会年度报告发布 全球艺术品市场回暖</w:t>
      </w:r>
    </w:p>
    <w:bookmarkEnd w:id="0"/>
    <w:p w:rsidR="00B3461F" w:rsidRPr="00B3461F" w:rsidRDefault="00B3461F" w:rsidP="00B3461F">
      <w:pPr>
        <w:widowControl/>
        <w:shd w:val="clear" w:color="auto" w:fill="FFFFFF"/>
        <w:spacing w:line="300" w:lineRule="atLeast"/>
        <w:jc w:val="left"/>
        <w:rPr>
          <w:rFonts w:ascii="Arial" w:eastAsia="宋体" w:hAnsi="Arial" w:cs="Arial" w:hint="eastAsia"/>
          <w:color w:val="808080"/>
          <w:kern w:val="0"/>
          <w:sz w:val="18"/>
          <w:szCs w:val="18"/>
        </w:rPr>
      </w:pPr>
      <w:r w:rsidRPr="00B3461F">
        <w:rPr>
          <w:rFonts w:ascii="Arial" w:eastAsia="宋体" w:hAnsi="Arial" w:cs="Arial"/>
          <w:color w:val="808080"/>
          <w:kern w:val="0"/>
          <w:sz w:val="18"/>
          <w:szCs w:val="18"/>
        </w:rPr>
        <w:t>2014</w:t>
      </w:r>
      <w:r w:rsidRPr="00B3461F">
        <w:rPr>
          <w:rFonts w:ascii="Arial" w:eastAsia="宋体" w:hAnsi="Arial" w:cs="Arial"/>
          <w:color w:val="808080"/>
          <w:kern w:val="0"/>
          <w:sz w:val="18"/>
          <w:szCs w:val="18"/>
        </w:rPr>
        <w:t>年</w:t>
      </w:r>
      <w:r w:rsidRPr="00B3461F">
        <w:rPr>
          <w:rFonts w:ascii="Arial" w:eastAsia="宋体" w:hAnsi="Arial" w:cs="Arial"/>
          <w:color w:val="808080"/>
          <w:kern w:val="0"/>
          <w:sz w:val="18"/>
          <w:szCs w:val="18"/>
        </w:rPr>
        <w:t>03</w:t>
      </w:r>
      <w:r w:rsidRPr="00B3461F">
        <w:rPr>
          <w:rFonts w:ascii="Arial" w:eastAsia="宋体" w:hAnsi="Arial" w:cs="Arial"/>
          <w:color w:val="808080"/>
          <w:kern w:val="0"/>
          <w:sz w:val="18"/>
          <w:szCs w:val="18"/>
        </w:rPr>
        <w:t>月</w:t>
      </w:r>
      <w:r w:rsidRPr="00B3461F">
        <w:rPr>
          <w:rFonts w:ascii="Arial" w:eastAsia="宋体" w:hAnsi="Arial" w:cs="Arial"/>
          <w:color w:val="808080"/>
          <w:kern w:val="0"/>
          <w:sz w:val="18"/>
          <w:szCs w:val="18"/>
        </w:rPr>
        <w:t>27</w:t>
      </w:r>
      <w:r w:rsidRPr="00B3461F">
        <w:rPr>
          <w:rFonts w:ascii="Arial" w:eastAsia="宋体" w:hAnsi="Arial" w:cs="Arial"/>
          <w:color w:val="808080"/>
          <w:kern w:val="0"/>
          <w:sz w:val="18"/>
          <w:szCs w:val="18"/>
        </w:rPr>
        <w:t>日</w:t>
      </w:r>
      <w:r w:rsidRPr="00B3461F">
        <w:rPr>
          <w:rFonts w:ascii="Arial" w:eastAsia="宋体" w:hAnsi="Arial" w:cs="Arial"/>
          <w:color w:val="808080"/>
          <w:kern w:val="0"/>
          <w:sz w:val="18"/>
          <w:szCs w:val="18"/>
        </w:rPr>
        <w:t xml:space="preserve"> 10:40</w:t>
      </w:r>
      <w:r w:rsidRPr="00B3461F">
        <w:rPr>
          <w:rFonts w:ascii="Arial" w:eastAsia="宋体" w:hAnsi="Arial" w:cs="Arial"/>
          <w:color w:val="808080"/>
          <w:kern w:val="0"/>
          <w:sz w:val="18"/>
          <w:szCs w:val="18"/>
        </w:rPr>
        <w:br/>
      </w:r>
      <w:r w:rsidRPr="00B3461F">
        <w:rPr>
          <w:rFonts w:ascii="Arial" w:eastAsia="宋体" w:hAnsi="Arial" w:cs="Arial"/>
          <w:color w:val="808080"/>
          <w:kern w:val="0"/>
          <w:sz w:val="18"/>
          <w:szCs w:val="18"/>
        </w:rPr>
        <w:t>来源：</w:t>
      </w:r>
      <w:r w:rsidRPr="00B3461F">
        <w:rPr>
          <w:rFonts w:ascii="Arial" w:eastAsia="宋体" w:hAnsi="Arial" w:cs="Arial"/>
          <w:color w:val="808080"/>
          <w:kern w:val="0"/>
          <w:sz w:val="18"/>
          <w:szCs w:val="18"/>
        </w:rPr>
        <w:fldChar w:fldCharType="begin"/>
      </w:r>
      <w:r w:rsidRPr="00B3461F">
        <w:rPr>
          <w:rFonts w:ascii="Arial" w:eastAsia="宋体" w:hAnsi="Arial" w:cs="Arial"/>
          <w:color w:val="808080"/>
          <w:kern w:val="0"/>
          <w:sz w:val="18"/>
          <w:szCs w:val="18"/>
        </w:rPr>
        <w:instrText xml:space="preserve"> HYPERLINK "http://auction.99ys.com/20140327/article--140327--159780_1.shtml" \t "_blank" </w:instrText>
      </w:r>
      <w:r w:rsidRPr="00B3461F">
        <w:rPr>
          <w:rFonts w:ascii="Arial" w:eastAsia="宋体" w:hAnsi="Arial" w:cs="Arial"/>
          <w:color w:val="808080"/>
          <w:kern w:val="0"/>
          <w:sz w:val="18"/>
          <w:szCs w:val="18"/>
        </w:rPr>
        <w:fldChar w:fldCharType="separate"/>
      </w:r>
      <w:r w:rsidRPr="00B3461F">
        <w:rPr>
          <w:rFonts w:ascii="Arial" w:eastAsia="宋体" w:hAnsi="Arial" w:cs="Arial"/>
          <w:color w:val="808080"/>
          <w:kern w:val="0"/>
          <w:sz w:val="18"/>
          <w:szCs w:val="18"/>
          <w:u w:val="single"/>
        </w:rPr>
        <w:t>中国文化报</w:t>
      </w:r>
      <w:r w:rsidRPr="00B3461F">
        <w:rPr>
          <w:rFonts w:ascii="Arial" w:eastAsia="宋体" w:hAnsi="Arial" w:cs="Arial"/>
          <w:color w:val="808080"/>
          <w:kern w:val="0"/>
          <w:sz w:val="18"/>
          <w:szCs w:val="18"/>
        </w:rPr>
        <w:fldChar w:fldCharType="end"/>
      </w:r>
    </w:p>
    <w:p w:rsidR="00B3461F" w:rsidRPr="00B3461F" w:rsidRDefault="00B3461F" w:rsidP="00B3461F">
      <w:pPr>
        <w:widowControl/>
        <w:shd w:val="clear" w:color="auto" w:fill="FFFFFF"/>
        <w:jc w:val="left"/>
        <w:outlineLvl w:val="5"/>
        <w:rPr>
          <w:rFonts w:ascii="Arial" w:eastAsia="宋体" w:hAnsi="Arial" w:cs="Arial"/>
          <w:color w:val="2B2B2B"/>
          <w:kern w:val="0"/>
          <w:sz w:val="18"/>
          <w:szCs w:val="18"/>
        </w:rPr>
      </w:pPr>
      <w:r w:rsidRPr="00B3461F">
        <w:rPr>
          <w:rFonts w:ascii="Arial" w:eastAsia="宋体" w:hAnsi="Arial" w:cs="Arial"/>
          <w:color w:val="2B2B2B"/>
          <w:kern w:val="0"/>
          <w:sz w:val="18"/>
          <w:szCs w:val="18"/>
        </w:rPr>
        <w:t>字号</w:t>
      </w:r>
      <w:r w:rsidRPr="00B3461F">
        <w:rPr>
          <w:rFonts w:ascii="Arial" w:eastAsia="宋体" w:hAnsi="Arial" w:cs="Arial"/>
          <w:color w:val="2B2B2B"/>
          <w:kern w:val="0"/>
          <w:sz w:val="18"/>
          <w:szCs w:val="18"/>
        </w:rPr>
        <w:t>:</w:t>
      </w:r>
      <w:hyperlink r:id="rId5" w:history="1">
        <w:r w:rsidRPr="00B3461F">
          <w:rPr>
            <w:rFonts w:ascii="Arial" w:eastAsia="宋体" w:hAnsi="Arial" w:cs="Arial"/>
            <w:color w:val="666666"/>
            <w:kern w:val="0"/>
            <w:sz w:val="15"/>
            <w:szCs w:val="15"/>
            <w:u w:val="single"/>
          </w:rPr>
          <w:t>T</w:t>
        </w:r>
      </w:hyperlink>
      <w:r w:rsidRPr="00B3461F">
        <w:rPr>
          <w:rFonts w:ascii="Arial" w:eastAsia="宋体" w:hAnsi="Arial" w:cs="Arial"/>
          <w:color w:val="666666"/>
          <w:kern w:val="0"/>
          <w:sz w:val="14"/>
          <w:szCs w:val="14"/>
        </w:rPr>
        <w:t>|</w:t>
      </w:r>
      <w:hyperlink r:id="rId6" w:history="1">
        <w:r w:rsidRPr="00B3461F">
          <w:rPr>
            <w:rFonts w:ascii="Arial" w:eastAsia="宋体" w:hAnsi="Arial" w:cs="Arial"/>
            <w:color w:val="004276"/>
            <w:kern w:val="0"/>
            <w:sz w:val="20"/>
            <w:szCs w:val="20"/>
            <w:u w:val="single"/>
          </w:rPr>
          <w:t>T</w:t>
        </w:r>
      </w:hyperlink>
    </w:p>
    <w:p w:rsidR="00B3461F" w:rsidRPr="00B3461F" w:rsidRDefault="00B3461F" w:rsidP="00B3461F">
      <w:pPr>
        <w:widowControl/>
        <w:shd w:val="clear" w:color="auto" w:fill="FFFFFF"/>
        <w:jc w:val="left"/>
        <w:outlineLvl w:val="4"/>
        <w:rPr>
          <w:rFonts w:ascii="Arial" w:eastAsia="宋体" w:hAnsi="Arial" w:cs="Arial"/>
          <w:color w:val="2B2B2B"/>
          <w:kern w:val="0"/>
          <w:sz w:val="18"/>
          <w:szCs w:val="18"/>
        </w:rPr>
      </w:pPr>
      <w:hyperlink r:id="rId7" w:history="1">
        <w:r w:rsidRPr="00B3461F">
          <w:rPr>
            <w:rFonts w:ascii="Arial" w:eastAsia="宋体" w:hAnsi="Arial" w:cs="Arial"/>
            <w:color w:val="BB2437"/>
            <w:kern w:val="0"/>
            <w:sz w:val="18"/>
            <w:szCs w:val="18"/>
            <w:u w:val="single"/>
          </w:rPr>
          <w:t>0</w:t>
        </w:r>
        <w:r w:rsidRPr="00B3461F">
          <w:rPr>
            <w:rFonts w:ascii="Arial" w:eastAsia="宋体" w:hAnsi="Arial" w:cs="Arial"/>
            <w:color w:val="BB2437"/>
            <w:kern w:val="0"/>
            <w:sz w:val="18"/>
            <w:szCs w:val="18"/>
            <w:u w:val="single"/>
          </w:rPr>
          <w:t>人参与</w:t>
        </w:r>
      </w:hyperlink>
      <w:hyperlink r:id="rId8" w:history="1">
        <w:r w:rsidRPr="00B3461F">
          <w:rPr>
            <w:rFonts w:ascii="Arial" w:eastAsia="宋体" w:hAnsi="Arial" w:cs="Arial"/>
            <w:color w:val="BB2437"/>
            <w:kern w:val="0"/>
            <w:sz w:val="18"/>
            <w:szCs w:val="18"/>
            <w:u w:val="single"/>
          </w:rPr>
          <w:t>0</w:t>
        </w:r>
        <w:r w:rsidRPr="00B3461F">
          <w:rPr>
            <w:rFonts w:ascii="Arial" w:eastAsia="宋体" w:hAnsi="Arial" w:cs="Arial"/>
            <w:color w:val="BB2437"/>
            <w:kern w:val="0"/>
            <w:sz w:val="18"/>
            <w:szCs w:val="18"/>
            <w:u w:val="single"/>
          </w:rPr>
          <w:t>条评论</w:t>
        </w:r>
      </w:hyperlink>
      <w:hyperlink r:id="rId9" w:history="1">
        <w:r w:rsidRPr="00B3461F">
          <w:rPr>
            <w:rFonts w:ascii="Arial" w:eastAsia="宋体" w:hAnsi="Arial" w:cs="Arial"/>
            <w:color w:val="2B2B2B"/>
            <w:kern w:val="0"/>
            <w:sz w:val="18"/>
            <w:szCs w:val="18"/>
            <w:u w:val="single"/>
          </w:rPr>
          <w:t>打印</w:t>
        </w:r>
      </w:hyperlink>
      <w:hyperlink r:id="rId10" w:history="1">
        <w:r w:rsidRPr="00B3461F">
          <w:rPr>
            <w:rFonts w:ascii="Arial" w:eastAsia="宋体" w:hAnsi="Arial" w:cs="Arial"/>
            <w:color w:val="2B2B2B"/>
            <w:kern w:val="0"/>
            <w:sz w:val="18"/>
            <w:szCs w:val="18"/>
            <w:u w:val="single"/>
          </w:rPr>
          <w:t>转发</w:t>
        </w:r>
      </w:hyperlink>
    </w:p>
    <w:p w:rsidR="00B3461F" w:rsidRPr="00B3461F" w:rsidRDefault="00B3461F" w:rsidP="00B3461F">
      <w:pPr>
        <w:widowControl/>
        <w:shd w:val="clear" w:color="auto" w:fill="FFFFFF"/>
        <w:spacing w:after="150" w:line="360" w:lineRule="atLeast"/>
        <w:ind w:firstLine="420"/>
        <w:jc w:val="center"/>
        <w:rPr>
          <w:rFonts w:ascii="Arial" w:eastAsia="宋体" w:hAnsi="Arial" w:cs="Arial"/>
          <w:color w:val="2B2B2B"/>
          <w:kern w:val="0"/>
          <w:szCs w:val="21"/>
        </w:rPr>
      </w:pPr>
      <w:r w:rsidRPr="00B3461F">
        <w:rPr>
          <w:rFonts w:ascii="Arial" w:eastAsia="宋体" w:hAnsi="Arial" w:cs="Arial"/>
          <w:noProof/>
          <w:color w:val="2B2B2B"/>
          <w:kern w:val="0"/>
          <w:szCs w:val="21"/>
        </w:rPr>
        <w:drawing>
          <wp:inline distT="0" distB="0" distL="0" distR="0" wp14:anchorId="10C0C840" wp14:editId="4ECF0336">
            <wp:extent cx="3810000" cy="2105025"/>
            <wp:effectExtent l="0" t="0" r="0" b="9525"/>
            <wp:docPr id="1" name="图片 1" descr="全球艺术品市场交易额及交易量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全球艺术品市场交易额及交易量图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05025"/>
                    </a:xfrm>
                    <a:prstGeom prst="rect">
                      <a:avLst/>
                    </a:prstGeom>
                    <a:noFill/>
                    <a:ln>
                      <a:noFill/>
                    </a:ln>
                  </pic:spPr>
                </pic:pic>
              </a:graphicData>
            </a:graphic>
          </wp:inline>
        </w:drawing>
      </w:r>
    </w:p>
    <w:p w:rsidR="00B3461F" w:rsidRPr="00B3461F" w:rsidRDefault="00B3461F" w:rsidP="00B3461F">
      <w:pPr>
        <w:widowControl/>
        <w:shd w:val="clear" w:color="auto" w:fill="FFFFFF"/>
        <w:spacing w:after="375" w:line="360" w:lineRule="atLeast"/>
        <w:ind w:firstLine="420"/>
        <w:jc w:val="center"/>
        <w:rPr>
          <w:rFonts w:ascii="楷体" w:eastAsia="楷体" w:hAnsi="楷体" w:cs="Arial"/>
          <w:color w:val="2B2B2B"/>
          <w:kern w:val="0"/>
          <w:szCs w:val="21"/>
        </w:rPr>
      </w:pPr>
      <w:r w:rsidRPr="00B3461F">
        <w:rPr>
          <w:rFonts w:ascii="楷体" w:eastAsia="楷体" w:hAnsi="楷体" w:cs="Arial" w:hint="eastAsia"/>
          <w:color w:val="2B2B2B"/>
          <w:kern w:val="0"/>
          <w:szCs w:val="21"/>
        </w:rPr>
        <w:t>全球艺术品市场交易额及交易量图示</w:t>
      </w:r>
    </w:p>
    <w:p w:rsidR="00B3461F" w:rsidRPr="00B3461F" w:rsidRDefault="00B3461F" w:rsidP="00B3461F">
      <w:pPr>
        <w:widowControl/>
        <w:shd w:val="clear" w:color="auto" w:fill="FFFFFF"/>
        <w:spacing w:after="375" w:line="360" w:lineRule="atLeast"/>
        <w:ind w:firstLine="420"/>
        <w:jc w:val="left"/>
        <w:rPr>
          <w:rFonts w:ascii="Arial" w:eastAsia="宋体" w:hAnsi="Arial" w:cs="Arial" w:hint="eastAsia"/>
          <w:color w:val="2B2B2B"/>
          <w:kern w:val="0"/>
          <w:szCs w:val="21"/>
        </w:rPr>
      </w:pPr>
      <w:r w:rsidRPr="00B3461F">
        <w:rPr>
          <w:rFonts w:ascii="Arial" w:eastAsia="宋体" w:hAnsi="Arial" w:cs="Arial"/>
          <w:color w:val="2B2B2B"/>
          <w:kern w:val="0"/>
          <w:szCs w:val="21"/>
        </w:rPr>
        <w:t>2014</w:t>
      </w:r>
      <w:r w:rsidRPr="00B3461F">
        <w:rPr>
          <w:rFonts w:ascii="Arial" w:eastAsia="宋体" w:hAnsi="Arial" w:cs="Arial"/>
          <w:color w:val="2B2B2B"/>
          <w:kern w:val="0"/>
          <w:szCs w:val="21"/>
        </w:rPr>
        <w:t>年</w:t>
      </w:r>
      <w:r w:rsidRPr="00B3461F">
        <w:rPr>
          <w:rFonts w:ascii="Arial" w:eastAsia="宋体" w:hAnsi="Arial" w:cs="Arial"/>
          <w:color w:val="2B2B2B"/>
          <w:kern w:val="0"/>
          <w:szCs w:val="21"/>
        </w:rPr>
        <w:t>3</w:t>
      </w:r>
      <w:r w:rsidRPr="00B3461F">
        <w:rPr>
          <w:rFonts w:ascii="Arial" w:eastAsia="宋体" w:hAnsi="Arial" w:cs="Arial"/>
          <w:color w:val="2B2B2B"/>
          <w:kern w:val="0"/>
          <w:szCs w:val="21"/>
        </w:rPr>
        <w:t>月</w:t>
      </w:r>
      <w:r w:rsidRPr="00B3461F">
        <w:rPr>
          <w:rFonts w:ascii="Arial" w:eastAsia="宋体" w:hAnsi="Arial" w:cs="Arial"/>
          <w:color w:val="2B2B2B"/>
          <w:kern w:val="0"/>
          <w:szCs w:val="21"/>
        </w:rPr>
        <w:t>12</w:t>
      </w:r>
      <w:r w:rsidRPr="00B3461F">
        <w:rPr>
          <w:rFonts w:ascii="Arial" w:eastAsia="宋体" w:hAnsi="Arial" w:cs="Arial"/>
          <w:color w:val="2B2B2B"/>
          <w:kern w:val="0"/>
          <w:szCs w:val="21"/>
        </w:rPr>
        <w:t>日，欧洲艺术基金会</w:t>
      </w:r>
      <w:r w:rsidRPr="00B3461F">
        <w:rPr>
          <w:rFonts w:ascii="Arial" w:eastAsia="宋体" w:hAnsi="Arial" w:cs="Arial"/>
          <w:color w:val="2B2B2B"/>
          <w:kern w:val="0"/>
          <w:szCs w:val="21"/>
        </w:rPr>
        <w:t>(</w:t>
      </w:r>
      <w:proofErr w:type="spellStart"/>
      <w:r w:rsidRPr="00B3461F">
        <w:rPr>
          <w:rFonts w:ascii="Arial" w:eastAsia="宋体" w:hAnsi="Arial" w:cs="Arial"/>
          <w:color w:val="2B2B2B"/>
          <w:kern w:val="0"/>
          <w:szCs w:val="21"/>
        </w:rPr>
        <w:t>EuropeanFineArtFoundation</w:t>
      </w:r>
      <w:proofErr w:type="spellEnd"/>
      <w:r w:rsidRPr="00B3461F">
        <w:rPr>
          <w:rFonts w:ascii="Arial" w:eastAsia="宋体" w:hAnsi="Arial" w:cs="Arial"/>
          <w:color w:val="2B2B2B"/>
          <w:kern w:val="0"/>
          <w:szCs w:val="21"/>
        </w:rPr>
        <w:t>)</w:t>
      </w:r>
      <w:r w:rsidRPr="00B3461F">
        <w:rPr>
          <w:rFonts w:ascii="Arial" w:eastAsia="宋体" w:hAnsi="Arial" w:cs="Arial"/>
          <w:color w:val="2B2B2B"/>
          <w:kern w:val="0"/>
          <w:szCs w:val="21"/>
        </w:rPr>
        <w:t>发布了</w:t>
      </w:r>
      <w:r w:rsidRPr="00B3461F">
        <w:rPr>
          <w:rFonts w:ascii="Arial" w:eastAsia="宋体" w:hAnsi="Arial" w:cs="Arial"/>
          <w:color w:val="2B2B2B"/>
          <w:kern w:val="0"/>
          <w:szCs w:val="21"/>
        </w:rPr>
        <w:t>2013</w:t>
      </w:r>
      <w:r w:rsidRPr="00B3461F">
        <w:rPr>
          <w:rFonts w:ascii="Arial" w:eastAsia="宋体" w:hAnsi="Arial" w:cs="Arial"/>
          <w:color w:val="2B2B2B"/>
          <w:kern w:val="0"/>
          <w:szCs w:val="21"/>
        </w:rPr>
        <w:t>年全球艺术品市场年度报告《全球艺术品市场：聚焦美国和中国》。报告指出，</w:t>
      </w:r>
      <w:r w:rsidRPr="00B3461F">
        <w:rPr>
          <w:rFonts w:ascii="Arial" w:eastAsia="宋体" w:hAnsi="Arial" w:cs="Arial"/>
          <w:color w:val="2B2B2B"/>
          <w:kern w:val="0"/>
          <w:szCs w:val="21"/>
        </w:rPr>
        <w:t>2013</w:t>
      </w:r>
      <w:r w:rsidRPr="00B3461F">
        <w:rPr>
          <w:rFonts w:ascii="Arial" w:eastAsia="宋体" w:hAnsi="Arial" w:cs="Arial"/>
          <w:color w:val="2B2B2B"/>
          <w:kern w:val="0"/>
          <w:szCs w:val="21"/>
        </w:rPr>
        <w:t>年，全球艺术品和古董市场的交易总额达到</w:t>
      </w:r>
      <w:r w:rsidRPr="00B3461F">
        <w:rPr>
          <w:rFonts w:ascii="Arial" w:eastAsia="宋体" w:hAnsi="Arial" w:cs="Arial"/>
          <w:color w:val="2B2B2B"/>
          <w:kern w:val="0"/>
          <w:szCs w:val="21"/>
        </w:rPr>
        <w:t>474</w:t>
      </w:r>
      <w:r w:rsidRPr="00B3461F">
        <w:rPr>
          <w:rFonts w:ascii="Arial" w:eastAsia="宋体" w:hAnsi="Arial" w:cs="Arial"/>
          <w:color w:val="2B2B2B"/>
          <w:kern w:val="0"/>
          <w:szCs w:val="21"/>
        </w:rPr>
        <w:t>亿欧元，比</w:t>
      </w:r>
      <w:r w:rsidRPr="00B3461F">
        <w:rPr>
          <w:rFonts w:ascii="Arial" w:eastAsia="宋体" w:hAnsi="Arial" w:cs="Arial"/>
          <w:color w:val="2B2B2B"/>
          <w:kern w:val="0"/>
          <w:szCs w:val="21"/>
        </w:rPr>
        <w:t>2013</w:t>
      </w:r>
      <w:r w:rsidRPr="00B3461F">
        <w:rPr>
          <w:rFonts w:ascii="Arial" w:eastAsia="宋体" w:hAnsi="Arial" w:cs="Arial"/>
          <w:color w:val="2B2B2B"/>
          <w:kern w:val="0"/>
          <w:szCs w:val="21"/>
        </w:rPr>
        <w:t>年同期上涨</w:t>
      </w:r>
      <w:r w:rsidRPr="00B3461F">
        <w:rPr>
          <w:rFonts w:ascii="Arial" w:eastAsia="宋体" w:hAnsi="Arial" w:cs="Arial"/>
          <w:color w:val="2B2B2B"/>
          <w:kern w:val="0"/>
          <w:szCs w:val="21"/>
        </w:rPr>
        <w:t>8%</w:t>
      </w:r>
      <w:r w:rsidRPr="00B3461F">
        <w:rPr>
          <w:rFonts w:ascii="Arial" w:eastAsia="宋体" w:hAnsi="Arial" w:cs="Arial"/>
          <w:color w:val="2B2B2B"/>
          <w:kern w:val="0"/>
          <w:szCs w:val="21"/>
        </w:rPr>
        <w:t>，仅次于</w:t>
      </w:r>
      <w:r w:rsidRPr="00B3461F">
        <w:rPr>
          <w:rFonts w:ascii="Arial" w:eastAsia="宋体" w:hAnsi="Arial" w:cs="Arial"/>
          <w:color w:val="2B2B2B"/>
          <w:kern w:val="0"/>
          <w:szCs w:val="21"/>
        </w:rPr>
        <w:t>2007</w:t>
      </w:r>
      <w:r w:rsidRPr="00B3461F">
        <w:rPr>
          <w:rFonts w:ascii="Arial" w:eastAsia="宋体" w:hAnsi="Arial" w:cs="Arial"/>
          <w:color w:val="2B2B2B"/>
          <w:kern w:val="0"/>
          <w:szCs w:val="21"/>
        </w:rPr>
        <w:t>年创下的</w:t>
      </w:r>
      <w:r w:rsidRPr="00B3461F">
        <w:rPr>
          <w:rFonts w:ascii="Arial" w:eastAsia="宋体" w:hAnsi="Arial" w:cs="Arial"/>
          <w:color w:val="2B2B2B"/>
          <w:kern w:val="0"/>
          <w:szCs w:val="21"/>
        </w:rPr>
        <w:t>480</w:t>
      </w:r>
      <w:r w:rsidRPr="00B3461F">
        <w:rPr>
          <w:rFonts w:ascii="Arial" w:eastAsia="宋体" w:hAnsi="Arial" w:cs="Arial"/>
          <w:color w:val="2B2B2B"/>
          <w:kern w:val="0"/>
          <w:szCs w:val="21"/>
        </w:rPr>
        <w:t>亿欧元的最高纪录。</w:t>
      </w:r>
    </w:p>
    <w:p w:rsidR="00B3461F" w:rsidRPr="00B3461F" w:rsidRDefault="00B3461F" w:rsidP="00B3461F">
      <w:pPr>
        <w:widowControl/>
        <w:shd w:val="clear" w:color="auto" w:fill="FFFFFF"/>
        <w:spacing w:after="375" w:line="360" w:lineRule="atLeast"/>
        <w:ind w:firstLine="420"/>
        <w:jc w:val="left"/>
        <w:rPr>
          <w:rFonts w:ascii="Arial" w:eastAsia="宋体" w:hAnsi="Arial" w:cs="Arial"/>
          <w:color w:val="2B2B2B"/>
          <w:kern w:val="0"/>
          <w:szCs w:val="21"/>
        </w:rPr>
      </w:pPr>
      <w:r w:rsidRPr="00B3461F">
        <w:rPr>
          <w:rFonts w:ascii="Arial" w:eastAsia="宋体" w:hAnsi="Arial" w:cs="Arial"/>
          <w:color w:val="2B2B2B"/>
          <w:kern w:val="0"/>
          <w:szCs w:val="21"/>
        </w:rPr>
        <w:t>作为国际权威艺术品市场研究机构，欧洲艺术基金会每年都会委托专家编写上一年的全球艺术品市场报告，该报告已成为监测全球艺术品市场的晴雨表。</w:t>
      </w:r>
      <w:r w:rsidRPr="00B3461F">
        <w:rPr>
          <w:rFonts w:ascii="Arial" w:eastAsia="宋体" w:hAnsi="Arial" w:cs="Arial"/>
          <w:color w:val="2B2B2B"/>
          <w:kern w:val="0"/>
          <w:szCs w:val="21"/>
        </w:rPr>
        <w:t>2013</w:t>
      </w:r>
      <w:r w:rsidRPr="00B3461F">
        <w:rPr>
          <w:rFonts w:ascii="Arial" w:eastAsia="宋体" w:hAnsi="Arial" w:cs="Arial"/>
          <w:color w:val="2B2B2B"/>
          <w:kern w:val="0"/>
          <w:szCs w:val="21"/>
        </w:rPr>
        <w:t>年度报告由专门从事美术和装饰艺术市场研究的文化经济学家克莱尔</w:t>
      </w:r>
      <w:r w:rsidRPr="00B3461F">
        <w:rPr>
          <w:rFonts w:ascii="Arial" w:eastAsia="宋体" w:hAnsi="Arial" w:cs="Arial"/>
          <w:color w:val="2B2B2B"/>
          <w:kern w:val="0"/>
          <w:szCs w:val="21"/>
        </w:rPr>
        <w:t>·</w:t>
      </w:r>
      <w:r w:rsidRPr="00B3461F">
        <w:rPr>
          <w:rFonts w:ascii="Arial" w:eastAsia="宋体" w:hAnsi="Arial" w:cs="Arial"/>
          <w:color w:val="2B2B2B"/>
          <w:kern w:val="0"/>
          <w:szCs w:val="21"/>
        </w:rPr>
        <w:t>麦克安德鲁博士编写。</w:t>
      </w:r>
    </w:p>
    <w:p w:rsidR="00B3461F" w:rsidRPr="00B3461F" w:rsidRDefault="00B3461F" w:rsidP="00B3461F">
      <w:pPr>
        <w:widowControl/>
        <w:shd w:val="clear" w:color="auto" w:fill="FFFFFF"/>
        <w:spacing w:after="375" w:line="360" w:lineRule="atLeast"/>
        <w:ind w:firstLine="420"/>
        <w:jc w:val="left"/>
        <w:rPr>
          <w:rFonts w:ascii="Arial" w:eastAsia="宋体" w:hAnsi="Arial" w:cs="Arial"/>
          <w:color w:val="2B2B2B"/>
          <w:kern w:val="0"/>
          <w:szCs w:val="21"/>
        </w:rPr>
      </w:pPr>
      <w:r w:rsidRPr="00B3461F">
        <w:rPr>
          <w:rFonts w:ascii="Arial" w:eastAsia="宋体" w:hAnsi="Arial" w:cs="Arial"/>
          <w:b/>
          <w:bCs/>
          <w:color w:val="2B2B2B"/>
          <w:kern w:val="0"/>
          <w:szCs w:val="21"/>
        </w:rPr>
        <w:t>直逼历史最高纪录</w:t>
      </w:r>
    </w:p>
    <w:p w:rsidR="00B3461F" w:rsidRPr="00B3461F" w:rsidRDefault="00B3461F" w:rsidP="00B3461F">
      <w:pPr>
        <w:widowControl/>
        <w:shd w:val="clear" w:color="auto" w:fill="FFFFFF"/>
        <w:spacing w:after="375" w:line="360" w:lineRule="atLeast"/>
        <w:ind w:firstLine="420"/>
        <w:jc w:val="left"/>
        <w:rPr>
          <w:rFonts w:ascii="Arial" w:eastAsia="宋体" w:hAnsi="Arial" w:cs="Arial"/>
          <w:color w:val="2B2B2B"/>
          <w:kern w:val="0"/>
          <w:szCs w:val="21"/>
        </w:rPr>
      </w:pPr>
      <w:r w:rsidRPr="00B3461F">
        <w:rPr>
          <w:rFonts w:ascii="Arial" w:eastAsia="宋体" w:hAnsi="Arial" w:cs="Arial"/>
          <w:color w:val="2B2B2B"/>
          <w:kern w:val="0"/>
          <w:szCs w:val="21"/>
        </w:rPr>
        <w:t>2007</w:t>
      </w:r>
      <w:r w:rsidRPr="00B3461F">
        <w:rPr>
          <w:rFonts w:ascii="Arial" w:eastAsia="宋体" w:hAnsi="Arial" w:cs="Arial"/>
          <w:color w:val="2B2B2B"/>
          <w:kern w:val="0"/>
          <w:szCs w:val="21"/>
        </w:rPr>
        <w:t>年，全球艺术品市场迎来了销售顶峰，当年全球艺术品市场交易总额达</w:t>
      </w:r>
      <w:r w:rsidRPr="00B3461F">
        <w:rPr>
          <w:rFonts w:ascii="Arial" w:eastAsia="宋体" w:hAnsi="Arial" w:cs="Arial"/>
          <w:color w:val="2B2B2B"/>
          <w:kern w:val="0"/>
          <w:szCs w:val="21"/>
        </w:rPr>
        <w:t>480</w:t>
      </w:r>
      <w:r w:rsidRPr="00B3461F">
        <w:rPr>
          <w:rFonts w:ascii="Arial" w:eastAsia="宋体" w:hAnsi="Arial" w:cs="Arial"/>
          <w:color w:val="2B2B2B"/>
          <w:kern w:val="0"/>
          <w:szCs w:val="21"/>
        </w:rPr>
        <w:t>亿欧元。然而，这一轮繁荣在全球经济危机影响下好景不长，</w:t>
      </w:r>
      <w:r w:rsidRPr="00B3461F">
        <w:rPr>
          <w:rFonts w:ascii="Arial" w:eastAsia="宋体" w:hAnsi="Arial" w:cs="Arial"/>
          <w:color w:val="2B2B2B"/>
          <w:kern w:val="0"/>
          <w:szCs w:val="21"/>
        </w:rPr>
        <w:t xml:space="preserve">2009 </w:t>
      </w:r>
      <w:r w:rsidRPr="00B3461F">
        <w:rPr>
          <w:rFonts w:ascii="Arial" w:eastAsia="宋体" w:hAnsi="Arial" w:cs="Arial"/>
          <w:color w:val="2B2B2B"/>
          <w:kern w:val="0"/>
          <w:szCs w:val="21"/>
        </w:rPr>
        <w:t>年的交易总额一度萎缩至</w:t>
      </w:r>
      <w:r w:rsidRPr="00B3461F">
        <w:rPr>
          <w:rFonts w:ascii="Arial" w:eastAsia="宋体" w:hAnsi="Arial" w:cs="Arial"/>
          <w:color w:val="2B2B2B"/>
          <w:kern w:val="0"/>
          <w:szCs w:val="21"/>
        </w:rPr>
        <w:t>283</w:t>
      </w:r>
      <w:r w:rsidRPr="00B3461F">
        <w:rPr>
          <w:rFonts w:ascii="Arial" w:eastAsia="宋体" w:hAnsi="Arial" w:cs="Arial"/>
          <w:color w:val="2B2B2B"/>
          <w:kern w:val="0"/>
          <w:szCs w:val="21"/>
        </w:rPr>
        <w:t>亿欧元。此后全球市场有所回暖，</w:t>
      </w:r>
      <w:r w:rsidRPr="00B3461F">
        <w:rPr>
          <w:rFonts w:ascii="Arial" w:eastAsia="宋体" w:hAnsi="Arial" w:cs="Arial"/>
          <w:color w:val="2B2B2B"/>
          <w:kern w:val="0"/>
          <w:szCs w:val="21"/>
        </w:rPr>
        <w:t>2013</w:t>
      </w:r>
      <w:r w:rsidRPr="00B3461F">
        <w:rPr>
          <w:rFonts w:ascii="Arial" w:eastAsia="宋体" w:hAnsi="Arial" w:cs="Arial"/>
          <w:color w:val="2B2B2B"/>
          <w:kern w:val="0"/>
          <w:szCs w:val="21"/>
        </w:rPr>
        <w:t>年更是出现了极大的上涨，几乎达到了衰退前的繁荣。保守估计，</w:t>
      </w:r>
      <w:r w:rsidRPr="00B3461F">
        <w:rPr>
          <w:rFonts w:ascii="Arial" w:eastAsia="宋体" w:hAnsi="Arial" w:cs="Arial"/>
          <w:color w:val="2B2B2B"/>
          <w:kern w:val="0"/>
          <w:szCs w:val="21"/>
        </w:rPr>
        <w:t>2013</w:t>
      </w:r>
      <w:r w:rsidRPr="00B3461F">
        <w:rPr>
          <w:rFonts w:ascii="Arial" w:eastAsia="宋体" w:hAnsi="Arial" w:cs="Arial"/>
          <w:color w:val="2B2B2B"/>
          <w:kern w:val="0"/>
          <w:szCs w:val="21"/>
        </w:rPr>
        <w:t>年，全球共有</w:t>
      </w:r>
      <w:r w:rsidRPr="00B3461F">
        <w:rPr>
          <w:rFonts w:ascii="Arial" w:eastAsia="宋体" w:hAnsi="Arial" w:cs="Arial"/>
          <w:color w:val="2B2B2B"/>
          <w:kern w:val="0"/>
          <w:szCs w:val="21"/>
        </w:rPr>
        <w:t>30.8525</w:t>
      </w:r>
      <w:r w:rsidRPr="00B3461F">
        <w:rPr>
          <w:rFonts w:ascii="Arial" w:eastAsia="宋体" w:hAnsi="Arial" w:cs="Arial"/>
          <w:color w:val="2B2B2B"/>
          <w:kern w:val="0"/>
          <w:szCs w:val="21"/>
        </w:rPr>
        <w:t>万商家从事艺术品和古董贸易，包括经销商、画廊、古董店、拍卖行等。</w:t>
      </w:r>
    </w:p>
    <w:p w:rsidR="00B3461F" w:rsidRPr="00B3461F" w:rsidRDefault="00B3461F" w:rsidP="00B3461F">
      <w:pPr>
        <w:widowControl/>
        <w:shd w:val="clear" w:color="auto" w:fill="FFFFFF"/>
        <w:spacing w:after="375" w:line="360" w:lineRule="atLeast"/>
        <w:ind w:firstLine="420"/>
        <w:jc w:val="left"/>
        <w:rPr>
          <w:rFonts w:ascii="Arial" w:eastAsia="宋体" w:hAnsi="Arial" w:cs="Arial"/>
          <w:color w:val="2B2B2B"/>
          <w:kern w:val="0"/>
          <w:szCs w:val="21"/>
        </w:rPr>
      </w:pPr>
      <w:r w:rsidRPr="00B3461F">
        <w:rPr>
          <w:rFonts w:ascii="Arial" w:eastAsia="宋体" w:hAnsi="Arial" w:cs="Arial"/>
          <w:color w:val="2B2B2B"/>
          <w:kern w:val="0"/>
          <w:szCs w:val="21"/>
        </w:rPr>
        <w:t>报告显示，</w:t>
      </w:r>
      <w:r w:rsidRPr="00B3461F">
        <w:rPr>
          <w:rFonts w:ascii="Arial" w:eastAsia="宋体" w:hAnsi="Arial" w:cs="Arial"/>
          <w:color w:val="2B2B2B"/>
          <w:kern w:val="0"/>
          <w:szCs w:val="21"/>
        </w:rPr>
        <w:t>2013</w:t>
      </w:r>
      <w:r w:rsidRPr="00B3461F">
        <w:rPr>
          <w:rFonts w:ascii="Arial" w:eastAsia="宋体" w:hAnsi="Arial" w:cs="Arial"/>
          <w:color w:val="2B2B2B"/>
          <w:kern w:val="0"/>
          <w:szCs w:val="21"/>
        </w:rPr>
        <w:t>年，美国以</w:t>
      </w:r>
      <w:r w:rsidRPr="00B3461F">
        <w:rPr>
          <w:rFonts w:ascii="Arial" w:eastAsia="宋体" w:hAnsi="Arial" w:cs="Arial"/>
          <w:color w:val="2B2B2B"/>
          <w:kern w:val="0"/>
          <w:szCs w:val="21"/>
        </w:rPr>
        <w:t>38%</w:t>
      </w:r>
      <w:r w:rsidRPr="00B3461F">
        <w:rPr>
          <w:rFonts w:ascii="Arial" w:eastAsia="宋体" w:hAnsi="Arial" w:cs="Arial"/>
          <w:color w:val="2B2B2B"/>
          <w:kern w:val="0"/>
          <w:szCs w:val="21"/>
        </w:rPr>
        <w:t>的市场份额再次成为全球最大的艺术品市场，比</w:t>
      </w:r>
      <w:r w:rsidRPr="00B3461F">
        <w:rPr>
          <w:rFonts w:ascii="Arial" w:eastAsia="宋体" w:hAnsi="Arial" w:cs="Arial"/>
          <w:color w:val="2B2B2B"/>
          <w:kern w:val="0"/>
          <w:szCs w:val="21"/>
        </w:rPr>
        <w:t>2012</w:t>
      </w:r>
      <w:r w:rsidRPr="00B3461F">
        <w:rPr>
          <w:rFonts w:ascii="Arial" w:eastAsia="宋体" w:hAnsi="Arial" w:cs="Arial"/>
          <w:color w:val="2B2B2B"/>
          <w:kern w:val="0"/>
          <w:szCs w:val="21"/>
        </w:rPr>
        <w:t>年增加</w:t>
      </w:r>
      <w:r w:rsidRPr="00B3461F">
        <w:rPr>
          <w:rFonts w:ascii="Arial" w:eastAsia="宋体" w:hAnsi="Arial" w:cs="Arial"/>
          <w:color w:val="2B2B2B"/>
          <w:kern w:val="0"/>
          <w:szCs w:val="21"/>
        </w:rPr>
        <w:t>5%</w:t>
      </w:r>
      <w:r w:rsidRPr="00B3461F">
        <w:rPr>
          <w:rFonts w:ascii="Arial" w:eastAsia="宋体" w:hAnsi="Arial" w:cs="Arial"/>
          <w:color w:val="2B2B2B"/>
          <w:kern w:val="0"/>
          <w:szCs w:val="21"/>
        </w:rPr>
        <w:t>。中国连续两年蝉联全球艺术品交易的第二位，占全球艺术品市场份额的</w:t>
      </w:r>
      <w:r w:rsidRPr="00B3461F">
        <w:rPr>
          <w:rFonts w:ascii="Arial" w:eastAsia="宋体" w:hAnsi="Arial" w:cs="Arial"/>
          <w:color w:val="2B2B2B"/>
          <w:kern w:val="0"/>
          <w:szCs w:val="21"/>
        </w:rPr>
        <w:t>24%</w:t>
      </w:r>
      <w:r w:rsidRPr="00B3461F">
        <w:rPr>
          <w:rFonts w:ascii="Arial" w:eastAsia="宋体" w:hAnsi="Arial" w:cs="Arial"/>
          <w:color w:val="2B2B2B"/>
          <w:kern w:val="0"/>
          <w:szCs w:val="21"/>
        </w:rPr>
        <w:t>；第三位仍由英国保持，占</w:t>
      </w:r>
      <w:r w:rsidRPr="00B3461F">
        <w:rPr>
          <w:rFonts w:ascii="Arial" w:eastAsia="宋体" w:hAnsi="Arial" w:cs="Arial"/>
          <w:color w:val="2B2B2B"/>
          <w:kern w:val="0"/>
          <w:szCs w:val="21"/>
        </w:rPr>
        <w:t>20%</w:t>
      </w:r>
      <w:r w:rsidRPr="00B3461F">
        <w:rPr>
          <w:rFonts w:ascii="Arial" w:eastAsia="宋体" w:hAnsi="Arial" w:cs="Arial"/>
          <w:color w:val="2B2B2B"/>
          <w:kern w:val="0"/>
          <w:szCs w:val="21"/>
        </w:rPr>
        <w:t>的市场份额，比</w:t>
      </w:r>
      <w:r w:rsidRPr="00B3461F">
        <w:rPr>
          <w:rFonts w:ascii="Arial" w:eastAsia="宋体" w:hAnsi="Arial" w:cs="Arial"/>
          <w:color w:val="2B2B2B"/>
          <w:kern w:val="0"/>
          <w:szCs w:val="21"/>
        </w:rPr>
        <w:t>2012</w:t>
      </w:r>
      <w:r w:rsidRPr="00B3461F">
        <w:rPr>
          <w:rFonts w:ascii="Arial" w:eastAsia="宋体" w:hAnsi="Arial" w:cs="Arial"/>
          <w:color w:val="2B2B2B"/>
          <w:kern w:val="0"/>
          <w:szCs w:val="21"/>
        </w:rPr>
        <w:t>年下降</w:t>
      </w:r>
      <w:r w:rsidRPr="00B3461F">
        <w:rPr>
          <w:rFonts w:ascii="Arial" w:eastAsia="宋体" w:hAnsi="Arial" w:cs="Arial"/>
          <w:color w:val="2B2B2B"/>
          <w:kern w:val="0"/>
          <w:szCs w:val="21"/>
        </w:rPr>
        <w:t>3%</w:t>
      </w:r>
      <w:r w:rsidRPr="00B3461F">
        <w:rPr>
          <w:rFonts w:ascii="Arial" w:eastAsia="宋体" w:hAnsi="Arial" w:cs="Arial"/>
          <w:color w:val="2B2B2B"/>
          <w:kern w:val="0"/>
          <w:szCs w:val="21"/>
        </w:rPr>
        <w:t>。欧盟作为一个整体，全球艺术品市场份额减少</w:t>
      </w:r>
      <w:r w:rsidRPr="00B3461F">
        <w:rPr>
          <w:rFonts w:ascii="Arial" w:eastAsia="宋体" w:hAnsi="Arial" w:cs="Arial"/>
          <w:color w:val="2B2B2B"/>
          <w:kern w:val="0"/>
          <w:szCs w:val="21"/>
        </w:rPr>
        <w:t>3%</w:t>
      </w:r>
      <w:r w:rsidRPr="00B3461F">
        <w:rPr>
          <w:rFonts w:ascii="Arial" w:eastAsia="宋体" w:hAnsi="Arial" w:cs="Arial"/>
          <w:color w:val="2B2B2B"/>
          <w:kern w:val="0"/>
          <w:szCs w:val="21"/>
        </w:rPr>
        <w:t>，占</w:t>
      </w:r>
      <w:r w:rsidRPr="00B3461F">
        <w:rPr>
          <w:rFonts w:ascii="Arial" w:eastAsia="宋体" w:hAnsi="Arial" w:cs="Arial"/>
          <w:color w:val="2B2B2B"/>
          <w:kern w:val="0"/>
          <w:szCs w:val="21"/>
        </w:rPr>
        <w:t>32%</w:t>
      </w:r>
      <w:r w:rsidRPr="00B3461F">
        <w:rPr>
          <w:rFonts w:ascii="Arial" w:eastAsia="宋体" w:hAnsi="Arial" w:cs="Arial"/>
          <w:color w:val="2B2B2B"/>
          <w:kern w:val="0"/>
          <w:szCs w:val="21"/>
        </w:rPr>
        <w:t>。</w:t>
      </w:r>
    </w:p>
    <w:p w:rsidR="00B3461F" w:rsidRDefault="00B3461F" w:rsidP="00B3461F">
      <w:pPr>
        <w:pStyle w:val="a4"/>
        <w:shd w:val="clear" w:color="auto" w:fill="FFFFFF"/>
        <w:spacing w:before="0" w:beforeAutospacing="0" w:after="375" w:afterAutospacing="0" w:line="360" w:lineRule="atLeast"/>
        <w:ind w:firstLine="420"/>
        <w:rPr>
          <w:rFonts w:ascii="Arial" w:hAnsi="Arial" w:cs="Arial"/>
          <w:color w:val="2B2B2B"/>
          <w:sz w:val="21"/>
          <w:szCs w:val="21"/>
        </w:rPr>
      </w:pPr>
      <w:r>
        <w:rPr>
          <w:rStyle w:val="a5"/>
          <w:rFonts w:ascii="Arial" w:hAnsi="Arial" w:cs="Arial"/>
          <w:color w:val="2B2B2B"/>
          <w:sz w:val="21"/>
          <w:szCs w:val="21"/>
        </w:rPr>
        <w:lastRenderedPageBreak/>
        <w:t>美国引领市场复苏</w:t>
      </w:r>
    </w:p>
    <w:p w:rsidR="00B3461F" w:rsidRDefault="00B3461F" w:rsidP="00B3461F">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麦克安德鲁指出，</w:t>
      </w:r>
      <w:r>
        <w:rPr>
          <w:rFonts w:ascii="Arial" w:hAnsi="Arial" w:cs="Arial"/>
          <w:color w:val="2B2B2B"/>
          <w:sz w:val="21"/>
          <w:szCs w:val="21"/>
        </w:rPr>
        <w:t>2013</w:t>
      </w:r>
      <w:r>
        <w:rPr>
          <w:rFonts w:ascii="Arial" w:hAnsi="Arial" w:cs="Arial"/>
          <w:color w:val="2B2B2B"/>
          <w:sz w:val="21"/>
          <w:szCs w:val="21"/>
        </w:rPr>
        <w:t>年全球艺术品和古董市场达到衰退前的繁荣，应归因于美国买家对市场的拉动以及现当代艺术家作品价格的上涨。</w:t>
      </w:r>
    </w:p>
    <w:p w:rsidR="00B3461F" w:rsidRDefault="00B3461F" w:rsidP="00B3461F">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2013</w:t>
      </w:r>
      <w:r>
        <w:rPr>
          <w:rFonts w:ascii="Arial" w:hAnsi="Arial" w:cs="Arial"/>
          <w:color w:val="2B2B2B"/>
          <w:sz w:val="21"/>
          <w:szCs w:val="21"/>
        </w:rPr>
        <w:t>年，美国艺术品和古董交易额增长</w:t>
      </w:r>
      <w:r>
        <w:rPr>
          <w:rFonts w:ascii="Arial" w:hAnsi="Arial" w:cs="Arial"/>
          <w:color w:val="2B2B2B"/>
          <w:sz w:val="21"/>
          <w:szCs w:val="21"/>
        </w:rPr>
        <w:t>25%</w:t>
      </w:r>
      <w:r>
        <w:rPr>
          <w:rFonts w:ascii="Arial" w:hAnsi="Arial" w:cs="Arial"/>
          <w:color w:val="2B2B2B"/>
          <w:sz w:val="21"/>
          <w:szCs w:val="21"/>
        </w:rPr>
        <w:t>，达到</w:t>
      </w:r>
      <w:r>
        <w:rPr>
          <w:rFonts w:ascii="Arial" w:hAnsi="Arial" w:cs="Arial"/>
          <w:color w:val="2B2B2B"/>
          <w:sz w:val="21"/>
          <w:szCs w:val="21"/>
        </w:rPr>
        <w:t>180</w:t>
      </w:r>
      <w:r>
        <w:rPr>
          <w:rFonts w:ascii="Arial" w:hAnsi="Arial" w:cs="Arial"/>
          <w:color w:val="2B2B2B"/>
          <w:sz w:val="21"/>
          <w:szCs w:val="21"/>
        </w:rPr>
        <w:t>亿欧元，再次稳固了其在全球艺术品市场的地位。而为美国的强劲增长贡献巨大力量的战后及当代艺术品交易额增长</w:t>
      </w:r>
      <w:r>
        <w:rPr>
          <w:rFonts w:ascii="Arial" w:hAnsi="Arial" w:cs="Arial"/>
          <w:color w:val="2B2B2B"/>
          <w:sz w:val="21"/>
          <w:szCs w:val="21"/>
        </w:rPr>
        <w:t>11%</w:t>
      </w:r>
      <w:r>
        <w:rPr>
          <w:rFonts w:ascii="Arial" w:hAnsi="Arial" w:cs="Arial"/>
          <w:color w:val="2B2B2B"/>
          <w:sz w:val="21"/>
          <w:szCs w:val="21"/>
        </w:rPr>
        <w:t>，占美国去年交易总额的</w:t>
      </w:r>
      <w:r>
        <w:rPr>
          <w:rFonts w:ascii="Arial" w:hAnsi="Arial" w:cs="Arial"/>
          <w:color w:val="2B2B2B"/>
          <w:sz w:val="21"/>
          <w:szCs w:val="21"/>
        </w:rPr>
        <w:t>59%</w:t>
      </w:r>
      <w:r>
        <w:rPr>
          <w:rFonts w:ascii="Arial" w:hAnsi="Arial" w:cs="Arial"/>
          <w:color w:val="2B2B2B"/>
          <w:sz w:val="21"/>
          <w:szCs w:val="21"/>
        </w:rPr>
        <w:t>，其中当代艺术品交易额更是达到有史以来的最高位</w:t>
      </w:r>
      <w:r>
        <w:rPr>
          <w:rFonts w:ascii="Arial" w:hAnsi="Arial" w:cs="Arial"/>
          <w:color w:val="2B2B2B"/>
          <w:sz w:val="21"/>
          <w:szCs w:val="21"/>
        </w:rPr>
        <w:t>——49</w:t>
      </w:r>
      <w:r>
        <w:rPr>
          <w:rFonts w:ascii="Arial" w:hAnsi="Arial" w:cs="Arial"/>
          <w:color w:val="2B2B2B"/>
          <w:sz w:val="21"/>
          <w:szCs w:val="21"/>
        </w:rPr>
        <w:t>亿欧元。美国同时还是艺术品成交单价最高的国家之一。产生天价作品的主要艺术家有弗朗西斯</w:t>
      </w:r>
      <w:r>
        <w:rPr>
          <w:rFonts w:ascii="Arial" w:hAnsi="Arial" w:cs="Arial"/>
          <w:color w:val="2B2B2B"/>
          <w:sz w:val="21"/>
          <w:szCs w:val="21"/>
        </w:rPr>
        <w:t>·</w:t>
      </w:r>
      <w:r>
        <w:rPr>
          <w:rFonts w:ascii="Arial" w:hAnsi="Arial" w:cs="Arial"/>
          <w:color w:val="2B2B2B"/>
          <w:sz w:val="21"/>
          <w:szCs w:val="21"/>
        </w:rPr>
        <w:t>培根、罗伊</w:t>
      </w:r>
      <w:r>
        <w:rPr>
          <w:rFonts w:ascii="Arial" w:hAnsi="Arial" w:cs="Arial"/>
          <w:color w:val="2B2B2B"/>
          <w:sz w:val="21"/>
          <w:szCs w:val="21"/>
        </w:rPr>
        <w:t>·</w:t>
      </w:r>
      <w:r>
        <w:rPr>
          <w:rFonts w:ascii="Arial" w:hAnsi="Arial" w:cs="Arial"/>
          <w:color w:val="2B2B2B"/>
          <w:sz w:val="21"/>
          <w:szCs w:val="21"/>
        </w:rPr>
        <w:t>利希滕斯坦和安迪</w:t>
      </w:r>
      <w:r>
        <w:rPr>
          <w:rFonts w:ascii="Arial" w:hAnsi="Arial" w:cs="Arial"/>
          <w:color w:val="2B2B2B"/>
          <w:sz w:val="21"/>
          <w:szCs w:val="21"/>
        </w:rPr>
        <w:t>·</w:t>
      </w:r>
      <w:r>
        <w:rPr>
          <w:rFonts w:ascii="Arial" w:hAnsi="Arial" w:cs="Arial"/>
          <w:color w:val="2B2B2B"/>
          <w:sz w:val="21"/>
          <w:szCs w:val="21"/>
        </w:rPr>
        <w:t>沃霍尔，其中培根的《弗洛伊德肖像画习作》以</w:t>
      </w:r>
      <w:r>
        <w:rPr>
          <w:rFonts w:ascii="Arial" w:hAnsi="Arial" w:cs="Arial"/>
          <w:color w:val="2B2B2B"/>
          <w:sz w:val="21"/>
          <w:szCs w:val="21"/>
        </w:rPr>
        <w:t>1.424</w:t>
      </w:r>
      <w:r>
        <w:rPr>
          <w:rFonts w:ascii="Arial" w:hAnsi="Arial" w:cs="Arial"/>
          <w:color w:val="2B2B2B"/>
          <w:sz w:val="21"/>
          <w:szCs w:val="21"/>
        </w:rPr>
        <w:t>亿美元刷新了世界拍卖纪录。</w:t>
      </w:r>
    </w:p>
    <w:p w:rsidR="00B3461F" w:rsidRDefault="00B3461F" w:rsidP="00B3461F">
      <w:pPr>
        <w:pStyle w:val="a4"/>
        <w:shd w:val="clear" w:color="auto" w:fill="FFFFFF"/>
        <w:spacing w:before="0" w:beforeAutospacing="0" w:after="375" w:afterAutospacing="0" w:line="360" w:lineRule="atLeast"/>
        <w:ind w:firstLine="420"/>
        <w:rPr>
          <w:rFonts w:ascii="Arial" w:hAnsi="Arial" w:cs="Arial"/>
          <w:color w:val="2B2B2B"/>
          <w:sz w:val="21"/>
          <w:szCs w:val="21"/>
        </w:rPr>
      </w:pPr>
      <w:r>
        <w:rPr>
          <w:rStyle w:val="a5"/>
          <w:rFonts w:ascii="Arial" w:hAnsi="Arial" w:cs="Arial"/>
          <w:color w:val="2B2B2B"/>
          <w:sz w:val="21"/>
          <w:szCs w:val="21"/>
        </w:rPr>
        <w:t>市场繁荣依赖少数天价作品</w:t>
      </w:r>
    </w:p>
    <w:p w:rsidR="00B3461F" w:rsidRDefault="00B3461F" w:rsidP="00B3461F">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报告发现，全球艺术品市场呈现头重脚轻的局面，市场繁荣依赖少数天价作品。数据显示，</w:t>
      </w:r>
      <w:r>
        <w:rPr>
          <w:rFonts w:ascii="Arial" w:hAnsi="Arial" w:cs="Arial"/>
          <w:color w:val="2B2B2B"/>
          <w:sz w:val="21"/>
          <w:szCs w:val="21"/>
        </w:rPr>
        <w:t>2013</w:t>
      </w:r>
      <w:r>
        <w:rPr>
          <w:rFonts w:ascii="Arial" w:hAnsi="Arial" w:cs="Arial"/>
          <w:color w:val="2B2B2B"/>
          <w:sz w:val="21"/>
          <w:szCs w:val="21"/>
        </w:rPr>
        <w:t>年，在全球销售的艺术品中，</w:t>
      </w:r>
      <w:r>
        <w:rPr>
          <w:rFonts w:ascii="Arial" w:hAnsi="Arial" w:cs="Arial"/>
          <w:color w:val="2B2B2B"/>
          <w:sz w:val="21"/>
          <w:szCs w:val="21"/>
        </w:rPr>
        <w:t>8%</w:t>
      </w:r>
      <w:r>
        <w:rPr>
          <w:rFonts w:ascii="Arial" w:hAnsi="Arial" w:cs="Arial"/>
          <w:color w:val="2B2B2B"/>
          <w:sz w:val="21"/>
          <w:szCs w:val="21"/>
        </w:rPr>
        <w:t>的作品占据了交易额的</w:t>
      </w:r>
      <w:r>
        <w:rPr>
          <w:rFonts w:ascii="Arial" w:hAnsi="Arial" w:cs="Arial"/>
          <w:color w:val="2B2B2B"/>
          <w:sz w:val="21"/>
          <w:szCs w:val="21"/>
        </w:rPr>
        <w:t>82%</w:t>
      </w:r>
      <w:r>
        <w:rPr>
          <w:rFonts w:ascii="Arial" w:hAnsi="Arial" w:cs="Arial"/>
          <w:color w:val="2B2B2B"/>
          <w:sz w:val="21"/>
          <w:szCs w:val="21"/>
        </w:rPr>
        <w:t>。在美国，</w:t>
      </w:r>
      <w:r>
        <w:rPr>
          <w:rFonts w:ascii="Arial" w:hAnsi="Arial" w:cs="Arial"/>
          <w:color w:val="2B2B2B"/>
          <w:sz w:val="21"/>
          <w:szCs w:val="21"/>
        </w:rPr>
        <w:t>7.5%</w:t>
      </w:r>
      <w:r>
        <w:rPr>
          <w:rFonts w:ascii="Arial" w:hAnsi="Arial" w:cs="Arial"/>
          <w:color w:val="2B2B2B"/>
          <w:sz w:val="21"/>
          <w:szCs w:val="21"/>
        </w:rPr>
        <w:t>的艺术品占据了交易额的</w:t>
      </w:r>
      <w:r>
        <w:rPr>
          <w:rFonts w:ascii="Arial" w:hAnsi="Arial" w:cs="Arial"/>
          <w:color w:val="2B2B2B"/>
          <w:sz w:val="21"/>
          <w:szCs w:val="21"/>
        </w:rPr>
        <w:t>91.2%</w:t>
      </w:r>
      <w:r>
        <w:rPr>
          <w:rFonts w:ascii="Arial" w:hAnsi="Arial" w:cs="Arial"/>
          <w:color w:val="2B2B2B"/>
          <w:sz w:val="21"/>
          <w:szCs w:val="21"/>
        </w:rPr>
        <w:t>。</w:t>
      </w:r>
      <w:r>
        <w:rPr>
          <w:rFonts w:ascii="Arial" w:hAnsi="Arial" w:cs="Arial"/>
          <w:color w:val="2B2B2B"/>
          <w:sz w:val="21"/>
          <w:szCs w:val="21"/>
        </w:rPr>
        <w:t>2013</w:t>
      </w:r>
      <w:r>
        <w:rPr>
          <w:rFonts w:ascii="Arial" w:hAnsi="Arial" w:cs="Arial"/>
          <w:color w:val="2B2B2B"/>
          <w:sz w:val="21"/>
          <w:szCs w:val="21"/>
        </w:rPr>
        <w:t>年，全球艺术品和古董交易量的增长幅度低于交易额的增长幅度，市场的兴盛是因为出现了一些价格较高的作品，而不是卖出了更多艺术品。</w:t>
      </w:r>
    </w:p>
    <w:p w:rsidR="00B3461F" w:rsidRDefault="00B3461F" w:rsidP="00B3461F">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这一现象在拍卖市场体现得尤为明显。</w:t>
      </w:r>
      <w:r>
        <w:rPr>
          <w:rFonts w:ascii="Arial" w:hAnsi="Arial" w:cs="Arial"/>
          <w:color w:val="2B2B2B"/>
          <w:sz w:val="21"/>
          <w:szCs w:val="21"/>
        </w:rPr>
        <w:t>2013</w:t>
      </w:r>
      <w:r>
        <w:rPr>
          <w:rFonts w:ascii="Arial" w:hAnsi="Arial" w:cs="Arial"/>
          <w:color w:val="2B2B2B"/>
          <w:sz w:val="21"/>
          <w:szCs w:val="21"/>
        </w:rPr>
        <w:t>年，在所有被拍卖的艺术品中，</w:t>
      </w:r>
      <w:r>
        <w:rPr>
          <w:rFonts w:ascii="Arial" w:hAnsi="Arial" w:cs="Arial"/>
          <w:color w:val="2B2B2B"/>
          <w:sz w:val="21"/>
          <w:szCs w:val="21"/>
        </w:rPr>
        <w:t>93%</w:t>
      </w:r>
      <w:r>
        <w:rPr>
          <w:rFonts w:ascii="Arial" w:hAnsi="Arial" w:cs="Arial"/>
          <w:color w:val="2B2B2B"/>
          <w:sz w:val="21"/>
          <w:szCs w:val="21"/>
        </w:rPr>
        <w:t>的作品成交价</w:t>
      </w:r>
      <w:proofErr w:type="gramStart"/>
      <w:r>
        <w:rPr>
          <w:rFonts w:ascii="Arial" w:hAnsi="Arial" w:cs="Arial"/>
          <w:color w:val="2B2B2B"/>
          <w:sz w:val="21"/>
          <w:szCs w:val="21"/>
        </w:rPr>
        <w:t>不足</w:t>
      </w:r>
      <w:r>
        <w:rPr>
          <w:rFonts w:ascii="Arial" w:hAnsi="Arial" w:cs="Arial"/>
          <w:color w:val="2B2B2B"/>
          <w:sz w:val="21"/>
          <w:szCs w:val="21"/>
        </w:rPr>
        <w:t>5</w:t>
      </w:r>
      <w:r>
        <w:rPr>
          <w:rFonts w:ascii="Arial" w:hAnsi="Arial" w:cs="Arial"/>
          <w:color w:val="2B2B2B"/>
          <w:sz w:val="21"/>
          <w:szCs w:val="21"/>
        </w:rPr>
        <w:t>万</w:t>
      </w:r>
      <w:proofErr w:type="gramEnd"/>
      <w:r>
        <w:rPr>
          <w:rFonts w:ascii="Arial" w:hAnsi="Arial" w:cs="Arial"/>
          <w:color w:val="2B2B2B"/>
          <w:sz w:val="21"/>
          <w:szCs w:val="21"/>
        </w:rPr>
        <w:t>欧元，仅占全年成交额的</w:t>
      </w:r>
      <w:r>
        <w:rPr>
          <w:rFonts w:ascii="Arial" w:hAnsi="Arial" w:cs="Arial"/>
          <w:color w:val="2B2B2B"/>
          <w:sz w:val="21"/>
          <w:szCs w:val="21"/>
        </w:rPr>
        <w:t>18%</w:t>
      </w:r>
      <w:r>
        <w:rPr>
          <w:rFonts w:ascii="Arial" w:hAnsi="Arial" w:cs="Arial"/>
          <w:color w:val="2B2B2B"/>
          <w:sz w:val="21"/>
          <w:szCs w:val="21"/>
        </w:rPr>
        <w:t>。而在高端市场，不到</w:t>
      </w:r>
      <w:r>
        <w:rPr>
          <w:rFonts w:ascii="Arial" w:hAnsi="Arial" w:cs="Arial"/>
          <w:color w:val="2B2B2B"/>
          <w:sz w:val="21"/>
          <w:szCs w:val="21"/>
        </w:rPr>
        <w:t>0.5%</w:t>
      </w:r>
      <w:r>
        <w:rPr>
          <w:rFonts w:ascii="Arial" w:hAnsi="Arial" w:cs="Arial"/>
          <w:color w:val="2B2B2B"/>
          <w:sz w:val="21"/>
          <w:szCs w:val="21"/>
        </w:rPr>
        <w:t>的作品以超过</w:t>
      </w:r>
      <w:r>
        <w:rPr>
          <w:rFonts w:ascii="Arial" w:hAnsi="Arial" w:cs="Arial"/>
          <w:color w:val="2B2B2B"/>
          <w:sz w:val="21"/>
          <w:szCs w:val="21"/>
        </w:rPr>
        <w:t>100</w:t>
      </w:r>
      <w:r>
        <w:rPr>
          <w:rFonts w:ascii="Arial" w:hAnsi="Arial" w:cs="Arial"/>
          <w:color w:val="2B2B2B"/>
          <w:sz w:val="21"/>
          <w:szCs w:val="21"/>
        </w:rPr>
        <w:t>万欧元的单价出售，占全年成交额的</w:t>
      </w:r>
      <w:r>
        <w:rPr>
          <w:rFonts w:ascii="Arial" w:hAnsi="Arial" w:cs="Arial"/>
          <w:color w:val="2B2B2B"/>
          <w:sz w:val="21"/>
          <w:szCs w:val="21"/>
        </w:rPr>
        <w:t>44%</w:t>
      </w:r>
      <w:r>
        <w:rPr>
          <w:rFonts w:ascii="Arial" w:hAnsi="Arial" w:cs="Arial"/>
          <w:color w:val="2B2B2B"/>
          <w:sz w:val="21"/>
          <w:szCs w:val="21"/>
        </w:rPr>
        <w:t>。单价超过</w:t>
      </w:r>
      <w:r>
        <w:rPr>
          <w:rFonts w:ascii="Arial" w:hAnsi="Arial" w:cs="Arial"/>
          <w:color w:val="2B2B2B"/>
          <w:sz w:val="21"/>
          <w:szCs w:val="21"/>
        </w:rPr>
        <w:t>1000</w:t>
      </w:r>
      <w:r>
        <w:rPr>
          <w:rFonts w:ascii="Arial" w:hAnsi="Arial" w:cs="Arial"/>
          <w:color w:val="2B2B2B"/>
          <w:sz w:val="21"/>
          <w:szCs w:val="21"/>
        </w:rPr>
        <w:t>万欧元的作品被视为天价作品，其成交量不到</w:t>
      </w:r>
      <w:r>
        <w:rPr>
          <w:rFonts w:ascii="Arial" w:hAnsi="Arial" w:cs="Arial"/>
          <w:color w:val="2B2B2B"/>
          <w:sz w:val="21"/>
          <w:szCs w:val="21"/>
        </w:rPr>
        <w:t>0.1%</w:t>
      </w:r>
      <w:r>
        <w:rPr>
          <w:rFonts w:ascii="Arial" w:hAnsi="Arial" w:cs="Arial"/>
          <w:color w:val="2B2B2B"/>
          <w:sz w:val="21"/>
          <w:szCs w:val="21"/>
        </w:rPr>
        <w:t>，但占据了成交额的</w:t>
      </w:r>
      <w:r>
        <w:rPr>
          <w:rFonts w:ascii="Arial" w:hAnsi="Arial" w:cs="Arial"/>
          <w:color w:val="2B2B2B"/>
          <w:sz w:val="21"/>
          <w:szCs w:val="21"/>
        </w:rPr>
        <w:t>16%</w:t>
      </w:r>
      <w:r>
        <w:rPr>
          <w:rFonts w:ascii="Arial" w:hAnsi="Arial" w:cs="Arial"/>
          <w:color w:val="2B2B2B"/>
          <w:sz w:val="21"/>
          <w:szCs w:val="21"/>
        </w:rPr>
        <w:t>。</w:t>
      </w:r>
    </w:p>
    <w:p w:rsidR="00B3461F" w:rsidRDefault="00B3461F" w:rsidP="00B3461F">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对艺术家的调查显示，成交单价高的作品集中在非常有限的艺术家群体。对于有作品在</w:t>
      </w:r>
      <w:r>
        <w:rPr>
          <w:rFonts w:ascii="Arial" w:hAnsi="Arial" w:cs="Arial"/>
          <w:color w:val="2B2B2B"/>
          <w:sz w:val="21"/>
          <w:szCs w:val="21"/>
        </w:rPr>
        <w:t>2013</w:t>
      </w:r>
      <w:r>
        <w:rPr>
          <w:rFonts w:ascii="Arial" w:hAnsi="Arial" w:cs="Arial"/>
          <w:color w:val="2B2B2B"/>
          <w:sz w:val="21"/>
          <w:szCs w:val="21"/>
        </w:rPr>
        <w:t>年被拍卖的所有艺术家来说，大部分</w:t>
      </w:r>
      <w:r>
        <w:rPr>
          <w:rFonts w:ascii="Arial" w:hAnsi="Arial" w:cs="Arial"/>
          <w:color w:val="2B2B2B"/>
          <w:sz w:val="21"/>
          <w:szCs w:val="21"/>
        </w:rPr>
        <w:t>(55%)</w:t>
      </w:r>
      <w:r>
        <w:rPr>
          <w:rFonts w:ascii="Arial" w:hAnsi="Arial" w:cs="Arial"/>
          <w:color w:val="2B2B2B"/>
          <w:sz w:val="21"/>
          <w:szCs w:val="21"/>
        </w:rPr>
        <w:t>艺术家的作品的成交单价不到</w:t>
      </w:r>
      <w:r>
        <w:rPr>
          <w:rFonts w:ascii="Arial" w:hAnsi="Arial" w:cs="Arial"/>
          <w:color w:val="2B2B2B"/>
          <w:sz w:val="21"/>
          <w:szCs w:val="21"/>
        </w:rPr>
        <w:t>3000</w:t>
      </w:r>
      <w:r>
        <w:rPr>
          <w:rFonts w:ascii="Arial" w:hAnsi="Arial" w:cs="Arial"/>
          <w:color w:val="2B2B2B"/>
          <w:sz w:val="21"/>
          <w:szCs w:val="21"/>
        </w:rPr>
        <w:t>欧元，</w:t>
      </w:r>
      <w:r>
        <w:rPr>
          <w:rFonts w:ascii="Arial" w:hAnsi="Arial" w:cs="Arial"/>
          <w:color w:val="2B2B2B"/>
          <w:sz w:val="21"/>
          <w:szCs w:val="21"/>
        </w:rPr>
        <w:t>90%</w:t>
      </w:r>
      <w:proofErr w:type="gramStart"/>
      <w:r>
        <w:rPr>
          <w:rFonts w:ascii="Arial" w:hAnsi="Arial" w:cs="Arial"/>
          <w:color w:val="2B2B2B"/>
          <w:sz w:val="21"/>
          <w:szCs w:val="21"/>
        </w:rPr>
        <w:t>不足</w:t>
      </w:r>
      <w:r>
        <w:rPr>
          <w:rFonts w:ascii="Arial" w:hAnsi="Arial" w:cs="Arial"/>
          <w:color w:val="2B2B2B"/>
          <w:sz w:val="21"/>
          <w:szCs w:val="21"/>
        </w:rPr>
        <w:t>5</w:t>
      </w:r>
      <w:r>
        <w:rPr>
          <w:rFonts w:ascii="Arial" w:hAnsi="Arial" w:cs="Arial"/>
          <w:color w:val="2B2B2B"/>
          <w:sz w:val="21"/>
          <w:szCs w:val="21"/>
        </w:rPr>
        <w:t>万</w:t>
      </w:r>
      <w:proofErr w:type="gramEnd"/>
      <w:r>
        <w:rPr>
          <w:rFonts w:ascii="Arial" w:hAnsi="Arial" w:cs="Arial"/>
          <w:color w:val="2B2B2B"/>
          <w:sz w:val="21"/>
          <w:szCs w:val="21"/>
        </w:rPr>
        <w:t>欧元。只有不到</w:t>
      </w:r>
      <w:r>
        <w:rPr>
          <w:rFonts w:ascii="Arial" w:hAnsi="Arial" w:cs="Arial"/>
          <w:color w:val="2B2B2B"/>
          <w:sz w:val="21"/>
          <w:szCs w:val="21"/>
        </w:rPr>
        <w:t>1%</w:t>
      </w:r>
      <w:r>
        <w:rPr>
          <w:rFonts w:ascii="Arial" w:hAnsi="Arial" w:cs="Arial"/>
          <w:color w:val="2B2B2B"/>
          <w:sz w:val="21"/>
          <w:szCs w:val="21"/>
        </w:rPr>
        <w:t>的艺术家的作品以超过</w:t>
      </w:r>
      <w:r>
        <w:rPr>
          <w:rFonts w:ascii="Arial" w:hAnsi="Arial" w:cs="Arial"/>
          <w:color w:val="2B2B2B"/>
          <w:sz w:val="21"/>
          <w:szCs w:val="21"/>
        </w:rPr>
        <w:t>100</w:t>
      </w:r>
      <w:r>
        <w:rPr>
          <w:rFonts w:ascii="Arial" w:hAnsi="Arial" w:cs="Arial"/>
          <w:color w:val="2B2B2B"/>
          <w:sz w:val="21"/>
          <w:szCs w:val="21"/>
        </w:rPr>
        <w:t>万欧元的单价出售，而成交单价超过</w:t>
      </w:r>
      <w:r>
        <w:rPr>
          <w:rFonts w:ascii="Arial" w:hAnsi="Arial" w:cs="Arial"/>
          <w:color w:val="2B2B2B"/>
          <w:sz w:val="21"/>
          <w:szCs w:val="21"/>
        </w:rPr>
        <w:t>1000</w:t>
      </w:r>
      <w:r>
        <w:rPr>
          <w:rFonts w:ascii="Arial" w:hAnsi="Arial" w:cs="Arial"/>
          <w:color w:val="2B2B2B"/>
          <w:sz w:val="21"/>
          <w:szCs w:val="21"/>
        </w:rPr>
        <w:t>万欧元的艺术家全球不到</w:t>
      </w:r>
      <w:r>
        <w:rPr>
          <w:rFonts w:ascii="Arial" w:hAnsi="Arial" w:cs="Arial"/>
          <w:color w:val="2B2B2B"/>
          <w:sz w:val="21"/>
          <w:szCs w:val="21"/>
        </w:rPr>
        <w:t>50</w:t>
      </w:r>
      <w:r>
        <w:rPr>
          <w:rFonts w:ascii="Arial" w:hAnsi="Arial" w:cs="Arial"/>
          <w:color w:val="2B2B2B"/>
          <w:sz w:val="21"/>
          <w:szCs w:val="21"/>
        </w:rPr>
        <w:t>人。这一现象在经销商市场也是如此，高端艺术品经销商表示，他们的顶级收藏家似乎只对全球</w:t>
      </w:r>
      <w:r>
        <w:rPr>
          <w:rFonts w:ascii="Arial" w:hAnsi="Arial" w:cs="Arial"/>
          <w:color w:val="2B2B2B"/>
          <w:sz w:val="21"/>
          <w:szCs w:val="21"/>
        </w:rPr>
        <w:t>50</w:t>
      </w:r>
      <w:r>
        <w:rPr>
          <w:rFonts w:ascii="Arial" w:hAnsi="Arial" w:cs="Arial"/>
          <w:color w:val="2B2B2B"/>
          <w:sz w:val="21"/>
          <w:szCs w:val="21"/>
        </w:rPr>
        <w:t>至</w:t>
      </w:r>
      <w:r>
        <w:rPr>
          <w:rFonts w:ascii="Arial" w:hAnsi="Arial" w:cs="Arial"/>
          <w:color w:val="2B2B2B"/>
          <w:sz w:val="21"/>
          <w:szCs w:val="21"/>
        </w:rPr>
        <w:t>100</w:t>
      </w:r>
      <w:r>
        <w:rPr>
          <w:rFonts w:ascii="Arial" w:hAnsi="Arial" w:cs="Arial"/>
          <w:color w:val="2B2B2B"/>
          <w:sz w:val="21"/>
          <w:szCs w:val="21"/>
        </w:rPr>
        <w:t>位艺术家的作品感兴趣。</w:t>
      </w:r>
    </w:p>
    <w:p w:rsidR="00B3461F" w:rsidRDefault="00B3461F" w:rsidP="00B3461F">
      <w:pPr>
        <w:pStyle w:val="a4"/>
        <w:shd w:val="clear" w:color="auto" w:fill="FFFFFF"/>
        <w:spacing w:before="0" w:beforeAutospacing="0" w:after="375" w:afterAutospacing="0" w:line="360" w:lineRule="atLeast"/>
        <w:ind w:firstLine="420"/>
        <w:rPr>
          <w:rFonts w:ascii="Arial" w:hAnsi="Arial" w:cs="Arial"/>
          <w:color w:val="2B2B2B"/>
          <w:sz w:val="21"/>
          <w:szCs w:val="21"/>
        </w:rPr>
      </w:pPr>
      <w:r>
        <w:rPr>
          <w:rStyle w:val="a5"/>
          <w:rFonts w:ascii="Arial" w:hAnsi="Arial" w:cs="Arial"/>
          <w:color w:val="2B2B2B"/>
          <w:sz w:val="21"/>
          <w:szCs w:val="21"/>
        </w:rPr>
        <w:t>在线市场发展迅速</w:t>
      </w:r>
    </w:p>
    <w:p w:rsidR="00B3461F" w:rsidRDefault="00B3461F" w:rsidP="00B3461F">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另一个值得注意的发现是：无论是在拍卖市场还是经销商市场，在线艺术品和古董销售均呈现迅速增长趋势。报告显示，</w:t>
      </w:r>
      <w:r>
        <w:rPr>
          <w:rFonts w:ascii="Arial" w:hAnsi="Arial" w:cs="Arial"/>
          <w:color w:val="2B2B2B"/>
          <w:sz w:val="21"/>
          <w:szCs w:val="21"/>
        </w:rPr>
        <w:t>2013</w:t>
      </w:r>
      <w:r>
        <w:rPr>
          <w:rFonts w:ascii="Arial" w:hAnsi="Arial" w:cs="Arial"/>
          <w:color w:val="2B2B2B"/>
          <w:sz w:val="21"/>
          <w:szCs w:val="21"/>
        </w:rPr>
        <w:t>年全球在线艺术品和古董销售额保守估计超过</w:t>
      </w:r>
      <w:r>
        <w:rPr>
          <w:rFonts w:ascii="Arial" w:hAnsi="Arial" w:cs="Arial"/>
          <w:color w:val="2B2B2B"/>
          <w:sz w:val="21"/>
          <w:szCs w:val="21"/>
        </w:rPr>
        <w:t>25</w:t>
      </w:r>
      <w:r>
        <w:rPr>
          <w:rFonts w:ascii="Arial" w:hAnsi="Arial" w:cs="Arial"/>
          <w:color w:val="2B2B2B"/>
          <w:sz w:val="21"/>
          <w:szCs w:val="21"/>
        </w:rPr>
        <w:t>亿欧元，约占全球市场份额的</w:t>
      </w:r>
      <w:r>
        <w:rPr>
          <w:rFonts w:ascii="Arial" w:hAnsi="Arial" w:cs="Arial"/>
          <w:color w:val="2B2B2B"/>
          <w:sz w:val="21"/>
          <w:szCs w:val="21"/>
        </w:rPr>
        <w:t>5%</w:t>
      </w:r>
      <w:r>
        <w:rPr>
          <w:rFonts w:ascii="Arial" w:hAnsi="Arial" w:cs="Arial"/>
          <w:color w:val="2B2B2B"/>
          <w:sz w:val="21"/>
          <w:szCs w:val="21"/>
        </w:rPr>
        <w:t>，并可能以每年至少</w:t>
      </w:r>
      <w:r>
        <w:rPr>
          <w:rFonts w:ascii="Arial" w:hAnsi="Arial" w:cs="Arial"/>
          <w:color w:val="2B2B2B"/>
          <w:sz w:val="21"/>
          <w:szCs w:val="21"/>
        </w:rPr>
        <w:t>25%</w:t>
      </w:r>
      <w:r>
        <w:rPr>
          <w:rFonts w:ascii="Arial" w:hAnsi="Arial" w:cs="Arial"/>
          <w:color w:val="2B2B2B"/>
          <w:sz w:val="21"/>
          <w:szCs w:val="21"/>
        </w:rPr>
        <w:t>的速度持续增长。在线艺术品销售的全球领导者不是那些熟悉的名字，如苏富比或佳士得，而是总部位于纽约的</w:t>
      </w:r>
      <w:r>
        <w:rPr>
          <w:rFonts w:ascii="Arial" w:hAnsi="Arial" w:cs="Arial"/>
          <w:color w:val="2B2B2B"/>
          <w:sz w:val="21"/>
          <w:szCs w:val="21"/>
        </w:rPr>
        <w:t>“</w:t>
      </w:r>
      <w:r>
        <w:rPr>
          <w:rFonts w:ascii="Arial" w:hAnsi="Arial" w:cs="Arial"/>
          <w:color w:val="2B2B2B"/>
          <w:sz w:val="21"/>
          <w:szCs w:val="21"/>
        </w:rPr>
        <w:t>遗产拍卖</w:t>
      </w:r>
      <w:r>
        <w:rPr>
          <w:rFonts w:ascii="Arial" w:hAnsi="Arial" w:cs="Arial"/>
          <w:color w:val="2B2B2B"/>
          <w:sz w:val="21"/>
          <w:szCs w:val="21"/>
        </w:rPr>
        <w:t>”</w:t>
      </w:r>
      <w:r>
        <w:rPr>
          <w:rFonts w:ascii="Arial" w:hAnsi="Arial" w:cs="Arial"/>
          <w:color w:val="2B2B2B"/>
          <w:sz w:val="21"/>
          <w:szCs w:val="21"/>
        </w:rPr>
        <w:t>。此外，艺术品经销商也受益于互联网，报告指出，其</w:t>
      </w:r>
      <w:r>
        <w:rPr>
          <w:rFonts w:ascii="Arial" w:hAnsi="Arial" w:cs="Arial"/>
          <w:color w:val="2B2B2B"/>
          <w:sz w:val="21"/>
          <w:szCs w:val="21"/>
        </w:rPr>
        <w:t>62%</w:t>
      </w:r>
      <w:r>
        <w:rPr>
          <w:rFonts w:ascii="Arial" w:hAnsi="Arial" w:cs="Arial"/>
          <w:color w:val="2B2B2B"/>
          <w:sz w:val="21"/>
          <w:szCs w:val="21"/>
        </w:rPr>
        <w:t>的网上交易来自新的买家。</w:t>
      </w:r>
      <w:r>
        <w:rPr>
          <w:rStyle w:val="apple-converted-space"/>
          <w:rFonts w:ascii="Arial" w:hAnsi="Arial" w:cs="Arial"/>
          <w:color w:val="2B2B2B"/>
          <w:sz w:val="21"/>
          <w:szCs w:val="21"/>
        </w:rPr>
        <w:t> </w:t>
      </w:r>
    </w:p>
    <w:p w:rsidR="00C873F2" w:rsidRPr="00B3461F" w:rsidRDefault="00C873F2"/>
    <w:sectPr w:rsidR="00C873F2" w:rsidRPr="00B34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1F"/>
    <w:rsid w:val="001D3078"/>
    <w:rsid w:val="005A0D31"/>
    <w:rsid w:val="00B3461F"/>
    <w:rsid w:val="00C873F2"/>
    <w:rsid w:val="00D46179"/>
    <w:rsid w:val="00DE7669"/>
    <w:rsid w:val="00E1676A"/>
    <w:rsid w:val="00FE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461F"/>
    <w:rPr>
      <w:sz w:val="18"/>
      <w:szCs w:val="18"/>
    </w:rPr>
  </w:style>
  <w:style w:type="character" w:customStyle="1" w:styleId="Char">
    <w:name w:val="批注框文本 Char"/>
    <w:basedOn w:val="a0"/>
    <w:link w:val="a3"/>
    <w:uiPriority w:val="99"/>
    <w:semiHidden/>
    <w:rsid w:val="00B3461F"/>
    <w:rPr>
      <w:sz w:val="18"/>
      <w:szCs w:val="18"/>
    </w:rPr>
  </w:style>
  <w:style w:type="paragraph" w:styleId="a4">
    <w:name w:val="Normal (Web)"/>
    <w:basedOn w:val="a"/>
    <w:uiPriority w:val="99"/>
    <w:semiHidden/>
    <w:unhideWhenUsed/>
    <w:rsid w:val="00B3461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3461F"/>
    <w:rPr>
      <w:b/>
      <w:bCs/>
    </w:rPr>
  </w:style>
  <w:style w:type="character" w:customStyle="1" w:styleId="apple-converted-space">
    <w:name w:val="apple-converted-space"/>
    <w:basedOn w:val="a0"/>
    <w:rsid w:val="00B34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461F"/>
    <w:rPr>
      <w:sz w:val="18"/>
      <w:szCs w:val="18"/>
    </w:rPr>
  </w:style>
  <w:style w:type="character" w:customStyle="1" w:styleId="Char">
    <w:name w:val="批注框文本 Char"/>
    <w:basedOn w:val="a0"/>
    <w:link w:val="a3"/>
    <w:uiPriority w:val="99"/>
    <w:semiHidden/>
    <w:rsid w:val="00B3461F"/>
    <w:rPr>
      <w:sz w:val="18"/>
      <w:szCs w:val="18"/>
    </w:rPr>
  </w:style>
  <w:style w:type="paragraph" w:styleId="a4">
    <w:name w:val="Normal (Web)"/>
    <w:basedOn w:val="a"/>
    <w:uiPriority w:val="99"/>
    <w:semiHidden/>
    <w:unhideWhenUsed/>
    <w:rsid w:val="00B3461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3461F"/>
    <w:rPr>
      <w:b/>
      <w:bCs/>
    </w:rPr>
  </w:style>
  <w:style w:type="character" w:customStyle="1" w:styleId="apple-converted-space">
    <w:name w:val="apple-converted-space"/>
    <w:basedOn w:val="a0"/>
    <w:rsid w:val="00B3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02766">
      <w:bodyDiv w:val="1"/>
      <w:marLeft w:val="0"/>
      <w:marRight w:val="0"/>
      <w:marTop w:val="0"/>
      <w:marBottom w:val="0"/>
      <w:divBdr>
        <w:top w:val="none" w:sz="0" w:space="0" w:color="auto"/>
        <w:left w:val="none" w:sz="0" w:space="0" w:color="auto"/>
        <w:bottom w:val="none" w:sz="0" w:space="0" w:color="auto"/>
        <w:right w:val="none" w:sz="0" w:space="0" w:color="auto"/>
      </w:divBdr>
    </w:div>
    <w:div w:id="1965577538">
      <w:bodyDiv w:val="1"/>
      <w:marLeft w:val="0"/>
      <w:marRight w:val="0"/>
      <w:marTop w:val="0"/>
      <w:marBottom w:val="0"/>
      <w:divBdr>
        <w:top w:val="none" w:sz="0" w:space="0" w:color="auto"/>
        <w:left w:val="none" w:sz="0" w:space="0" w:color="auto"/>
        <w:bottom w:val="none" w:sz="0" w:space="0" w:color="auto"/>
        <w:right w:val="none" w:sz="0" w:space="0" w:color="auto"/>
      </w:divBdr>
      <w:divsChild>
        <w:div w:id="128958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image" Target="media/image1.jpeg"/><Relationship Id="rId5" Type="http://schemas.openxmlformats.org/officeDocument/2006/relationships/hyperlink" Target="javascript:void(0);" TargetMode="Externa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viewsonic</dc:creator>
  <cp:lastModifiedBy>viewsonic</cp:lastModifiedBy>
  <cp:revision>1</cp:revision>
  <dcterms:created xsi:type="dcterms:W3CDTF">2014-04-01T04:50:00Z</dcterms:created>
  <dcterms:modified xsi:type="dcterms:W3CDTF">2014-04-01T04:52:00Z</dcterms:modified>
</cp:coreProperties>
</file>